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5C64B" w14:textId="6EA94511" w:rsidR="00AE184D" w:rsidRPr="003049A5" w:rsidRDefault="00AE184D" w:rsidP="003049A5">
      <w:pPr>
        <w:suppressAutoHyphens w:val="0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AE184D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  <w:t>SL/5/ZP/2021/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   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ab/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ab/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ab/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ab/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ab/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ab/>
      </w:r>
      <w:r w:rsidRPr="00510428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  <w:t>Załącznik nr 3 - SIWZ - Formularz cenowy</w:t>
      </w:r>
    </w:p>
    <w:p w14:paraId="10CC6D2B" w14:textId="77777777" w:rsidR="003049A5" w:rsidRDefault="003049A5" w:rsidP="00AE184D">
      <w:pPr>
        <w:pStyle w:val="Textbody"/>
        <w:jc w:val="center"/>
        <w:rPr>
          <w:b/>
          <w:bCs/>
          <w:sz w:val="22"/>
          <w:szCs w:val="22"/>
        </w:rPr>
      </w:pPr>
    </w:p>
    <w:p w14:paraId="4879B0A4" w14:textId="77777777" w:rsidR="00510428" w:rsidRDefault="00510428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6782B5D" w14:textId="77777777" w:rsidR="00510428" w:rsidRDefault="00510428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3C8B78E" w14:textId="7F7A6B6D" w:rsidR="00B472E4" w:rsidRDefault="00AE184D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10428">
        <w:rPr>
          <w:rFonts w:asciiTheme="minorHAnsi" w:hAnsiTheme="minorHAnsi" w:cstheme="minorHAnsi"/>
          <w:b/>
          <w:bCs/>
          <w:sz w:val="22"/>
          <w:szCs w:val="22"/>
        </w:rPr>
        <w:t xml:space="preserve">Dostawa środków do dezynfekcji dla Szpitala Św. Leona Sp. z </w:t>
      </w:r>
      <w:proofErr w:type="spellStart"/>
      <w:r w:rsidRPr="00510428">
        <w:rPr>
          <w:rFonts w:asciiTheme="minorHAnsi" w:hAnsiTheme="minorHAnsi" w:cstheme="minorHAnsi"/>
          <w:b/>
          <w:bCs/>
          <w:sz w:val="22"/>
          <w:szCs w:val="22"/>
        </w:rPr>
        <w:t>o.o</w:t>
      </w:r>
      <w:proofErr w:type="spellEnd"/>
      <w:r w:rsidRPr="00510428">
        <w:rPr>
          <w:rFonts w:asciiTheme="minorHAnsi" w:hAnsiTheme="minorHAnsi" w:cstheme="minorHAnsi"/>
          <w:b/>
          <w:bCs/>
          <w:sz w:val="22"/>
          <w:szCs w:val="22"/>
        </w:rPr>
        <w:t xml:space="preserve"> w Opatowie</w:t>
      </w:r>
    </w:p>
    <w:p w14:paraId="44B4691E" w14:textId="77777777" w:rsidR="00510428" w:rsidRPr="00510428" w:rsidRDefault="00510428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992"/>
        <w:gridCol w:w="1276"/>
        <w:gridCol w:w="992"/>
        <w:gridCol w:w="1276"/>
        <w:gridCol w:w="992"/>
      </w:tblGrid>
      <w:tr w:rsidR="00D66276" w:rsidRPr="00510428" w14:paraId="19D17CFA" w14:textId="4101164A" w:rsidTr="00D66276">
        <w:tc>
          <w:tcPr>
            <w:tcW w:w="568" w:type="dxa"/>
          </w:tcPr>
          <w:p w14:paraId="363698D4" w14:textId="77777777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63070378"/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14:paraId="6791D97A" w14:textId="77777777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</w:p>
        </w:tc>
        <w:tc>
          <w:tcPr>
            <w:tcW w:w="992" w:type="dxa"/>
          </w:tcPr>
          <w:p w14:paraId="6150FCB4" w14:textId="77777777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</w:p>
        </w:tc>
        <w:tc>
          <w:tcPr>
            <w:tcW w:w="1276" w:type="dxa"/>
          </w:tcPr>
          <w:p w14:paraId="58ABC92D" w14:textId="77777777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</w:t>
            </w:r>
          </w:p>
          <w:p w14:paraId="7AFB67FE" w14:textId="594F7797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netto</w:t>
            </w:r>
          </w:p>
        </w:tc>
        <w:tc>
          <w:tcPr>
            <w:tcW w:w="992" w:type="dxa"/>
          </w:tcPr>
          <w:p w14:paraId="4F139795" w14:textId="77777777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Wartość netto</w:t>
            </w:r>
          </w:p>
          <w:p w14:paraId="39BADE61" w14:textId="26FCE616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EF07F0" w14:textId="76F36200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Cena jednostkowa brutto</w:t>
            </w:r>
          </w:p>
        </w:tc>
        <w:tc>
          <w:tcPr>
            <w:tcW w:w="992" w:type="dxa"/>
          </w:tcPr>
          <w:p w14:paraId="5C223233" w14:textId="77777777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</w:p>
          <w:p w14:paraId="40F55595" w14:textId="0E695C26" w:rsidR="00D66276" w:rsidRPr="00510428" w:rsidRDefault="00D66276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brutto</w:t>
            </w:r>
          </w:p>
        </w:tc>
      </w:tr>
      <w:tr w:rsidR="00D66276" w:rsidRPr="00510428" w14:paraId="3082EE73" w14:textId="439419C2" w:rsidTr="00D66276">
        <w:tc>
          <w:tcPr>
            <w:tcW w:w="568" w:type="dxa"/>
          </w:tcPr>
          <w:p w14:paraId="14B4467C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6C9F8401" w14:textId="0C1B42F4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Preparat do szybkiej dezynfekcji miejsc trudnodostępnych na bazie mieszaniny alkoholi  etanolu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izopropanolu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o stężeniu max 63g na 100ml, nie sklasyfikowany jako substancja drażniąca (nie posiada oznakowania Xi),  o szerokim spektrum biobójczym: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B,F,Tbc,V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BVDV,HIV,HBV,HCV,Vaccinia,Rota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, Noro) i krótkim czasie działania maksymalnie do 30 sekund z możliwością poszerzenia o Polio w czasie max. 2 minut. Badania skuteczności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mikrobójczej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potwierdzone badaniami zgodnie z zharmonizowaną normą PN-EN 14885 (obszar medyczny) co najmniej faza II. Możliwość użycia preparatu do dezynfekcji powierzchni mających kontakt z żywnością (dokument potwierdzający wydany przez niezależną instytucję).  Opakowanie 1L ze spryskiwaczem. Preparat o podwójnej rejestracji jako produkt biobójczy i wyrób medyczny.</w:t>
            </w:r>
          </w:p>
          <w:p w14:paraId="6300B758" w14:textId="74A7480D" w:rsidR="00D66276" w:rsidRPr="00510428" w:rsidRDefault="00D66276" w:rsidP="00AE184D">
            <w:pPr>
              <w:pStyle w:val="TableContents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Bacticid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1L</w:t>
            </w:r>
          </w:p>
        </w:tc>
        <w:tc>
          <w:tcPr>
            <w:tcW w:w="992" w:type="dxa"/>
          </w:tcPr>
          <w:p w14:paraId="2D86A2EE" w14:textId="6AFBAF8B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212556E2" w14:textId="13556A89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180E85B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CC2601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899775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06127E7A" w14:textId="3F040D64" w:rsidTr="00D66276">
        <w:tc>
          <w:tcPr>
            <w:tcW w:w="568" w:type="dxa"/>
          </w:tcPr>
          <w:p w14:paraId="2A027D28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14:paraId="456915D2" w14:textId="777B0386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Preparat chlorowy oparty o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dichloroizocjanouran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sodu. W tabletkach, o obojętnym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(7,0) roztworu roboczego. Przeznaczony do dezynfekcji powierzchni zmywalnych, powierzchni podłóg i ścian oraz powierzchni mających kontakt z żywnością.  Spektrum działania: B,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Tbc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  (M.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Avium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M.Terrae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), F (Candida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Albicans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i Aspergillus Niger), V (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Polio,Noro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) w czasie ekspozycji – do 15min w stężeniu 1000ppm. Posiadający </w:t>
            </w:r>
            <w:r w:rsidRPr="005104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potwierdzone działanie na Clostridium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difficile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rybotyp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027 (w warunkach brudnych) w max. Stężeniu 4000ppm zgodnie z normą EN 17126. Opakowanie max. 300 tabletek. </w:t>
            </w:r>
          </w:p>
          <w:p w14:paraId="3C883708" w14:textId="7760CAD9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Chlorinex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60</w:t>
            </w:r>
          </w:p>
        </w:tc>
        <w:tc>
          <w:tcPr>
            <w:tcW w:w="992" w:type="dxa"/>
          </w:tcPr>
          <w:p w14:paraId="50B3FD08" w14:textId="58580236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50</w:t>
            </w:r>
          </w:p>
        </w:tc>
        <w:tc>
          <w:tcPr>
            <w:tcW w:w="1276" w:type="dxa"/>
          </w:tcPr>
          <w:p w14:paraId="23FEEE8E" w14:textId="4EE4B7B3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323159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4A19B2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B170B6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0FDA08F2" w14:textId="2FEFFD60" w:rsidTr="00510428">
        <w:trPr>
          <w:trHeight w:val="3251"/>
        </w:trPr>
        <w:tc>
          <w:tcPr>
            <w:tcW w:w="568" w:type="dxa"/>
          </w:tcPr>
          <w:p w14:paraId="0E8ACD57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14:paraId="24768C2A" w14:textId="767E3F0A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Żelowy preparat na bazie alkoholi: Etanol – 72,5g oraz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izopropanol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– 7,5g bez zawartości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chlorheksydyny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biguanid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, butanu-2-on i pochodnych fenolowych do dezynfekcji higienicznej i chirurgicznej rąk o szerokim spektrum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mikrobójczym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B,F,Tbc,V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(HIV,HBV,HCV, Rota,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, Noro i Polio) w czasie do 30 sekund. Chirurgiczna dezynfekcja rąk zgodnie z normą PN-EN 12791 w czasie 1,5 minuty.</w:t>
            </w:r>
          </w:p>
          <w:p w14:paraId="72EBE466" w14:textId="436E389A" w:rsidR="00D66276" w:rsidRPr="00510428" w:rsidRDefault="00D66276" w:rsidP="00AE184D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Healthy skin gel 5l</w:t>
            </w:r>
          </w:p>
          <w:p w14:paraId="7DF42CDD" w14:textId="5EA5FF49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14:paraId="1B6A0536" w14:textId="24FE3C3C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</w:t>
            </w:r>
          </w:p>
        </w:tc>
        <w:tc>
          <w:tcPr>
            <w:tcW w:w="1276" w:type="dxa"/>
          </w:tcPr>
          <w:p w14:paraId="4D56A3E3" w14:textId="37683521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434494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3D92ACB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0D28BE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5101D6A7" w14:textId="137C2B89" w:rsidTr="00D66276">
        <w:tc>
          <w:tcPr>
            <w:tcW w:w="568" w:type="dxa"/>
          </w:tcPr>
          <w:p w14:paraId="3A95D859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14:paraId="1DF6569E" w14:textId="50F1C8CF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Płyn do szybkiej dezynfekcji małych powierzchni w obszarze medycznym, domach opieki, sanatoriach, salonach fitness i SPA, salonach fryzjerskich, kosmetycznych, gabinetach masażu, przedszkolach, szkołach oraz do dezynfekcji powierzchni mających i niemających kontaktu z żywnością. Nadaje się do dezynfekcji powierzchni takich jak blaty, stoły, klamki, uchwyty oraz do sprzętu i akcesoriów fryzjerskich i kosmetycznych, a także nieinwazyjnego sprzętu medycznego jak np. fotele zabiegowe, aparatura medyczna, sprzęt rehabilitacyjny. Polecany jest również do dezynfekcji końcówek stomatologicznych przed procesem sterylizacji oraz łyżek protetycznych i wycisków silikonowych. Produkt posiada działanie bakteriobójcze,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drożdżakobójcze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 wobec prątków gruźlicy i ograniczone wirusobójcze (wobec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Rotawirusa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Norowirusa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) oraz 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 wobec wirusów osłonkowych (w tym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Vaccinia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, BVDV, SARS-CoV-2, HIV, HBV, HCV).</w:t>
            </w:r>
          </w:p>
          <w:p w14:paraId="21999D29" w14:textId="3B5542D5" w:rsidR="00D66276" w:rsidRPr="00510428" w:rsidRDefault="00D66276" w:rsidP="00AE184D">
            <w:pPr>
              <w:pStyle w:val="TableContents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VELOX 1L</w:t>
            </w:r>
          </w:p>
        </w:tc>
        <w:tc>
          <w:tcPr>
            <w:tcW w:w="992" w:type="dxa"/>
          </w:tcPr>
          <w:p w14:paraId="1D2EE4AB" w14:textId="30B9A378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2B07457F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237212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A715FA2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2AC29A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2D71FAA7" w14:textId="720AB5D9" w:rsidTr="00D66276">
        <w:tc>
          <w:tcPr>
            <w:tcW w:w="568" w:type="dxa"/>
          </w:tcPr>
          <w:p w14:paraId="04F11A64" w14:textId="2A163F0B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3260" w:type="dxa"/>
          </w:tcPr>
          <w:p w14:paraId="6F1B4EF3" w14:textId="206BCE1A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Produkt służący do higienicznej dezynfekcji rąk o działaniu wirusobójczym, bakteriobójczym, grzybobójczym. Produkt do powszechnego stosowania oraz do </w:t>
            </w:r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zastosowania</w:t>
            </w: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w obszarze medycznym. </w:t>
            </w:r>
          </w:p>
          <w:p w14:paraId="308E124C" w14:textId="2827F842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color w:val="40474F"/>
                <w:sz w:val="22"/>
                <w:szCs w:val="22"/>
                <w:shd w:val="clear" w:color="auto" w:fill="FFFFFF"/>
              </w:rPr>
              <w:t>Trisept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color w:val="40474F"/>
                <w:sz w:val="22"/>
                <w:szCs w:val="22"/>
                <w:shd w:val="clear" w:color="auto" w:fill="FFFFFF"/>
              </w:rPr>
              <w:t xml:space="preserve"> max 5L</w:t>
            </w:r>
          </w:p>
        </w:tc>
        <w:tc>
          <w:tcPr>
            <w:tcW w:w="992" w:type="dxa"/>
          </w:tcPr>
          <w:p w14:paraId="5560A847" w14:textId="1B3AB749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78248E3F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2D78740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AE127B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3798E7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5A40656E" w14:textId="39BA94E1" w:rsidTr="00D66276">
        <w:tc>
          <w:tcPr>
            <w:tcW w:w="568" w:type="dxa"/>
          </w:tcPr>
          <w:p w14:paraId="76A250EF" w14:textId="327D537A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260" w:type="dxa"/>
          </w:tcPr>
          <w:p w14:paraId="10C5A154" w14:textId="072D26BA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Produkt o działaniu wirusobójczym, bakteriobójczym, grzybobójczym służący do dezynfekcji higienicznej i chirurgicznej rąk, powierzchni i urządzeń, mających jak i nie mających kontaktu z żywnością.</w:t>
            </w:r>
          </w:p>
          <w:p w14:paraId="4C07D63D" w14:textId="1A4290EE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Trisept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complex5L</w:t>
            </w:r>
          </w:p>
        </w:tc>
        <w:tc>
          <w:tcPr>
            <w:tcW w:w="992" w:type="dxa"/>
          </w:tcPr>
          <w:p w14:paraId="63B2ADE9" w14:textId="557CEFDF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14:paraId="58C6B5FC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60215C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7802C36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8779111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63810404" w14:textId="61CC1227" w:rsidTr="00D66276">
        <w:tc>
          <w:tcPr>
            <w:tcW w:w="568" w:type="dxa"/>
          </w:tcPr>
          <w:p w14:paraId="00D44400" w14:textId="0CF837EE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260" w:type="dxa"/>
          </w:tcPr>
          <w:p w14:paraId="560C950E" w14:textId="754B453C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</w:t>
            </w:r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Pianka</w:t>
            </w: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zalecana do dezynfekcji różnorodnych powierzchni w obszarze medycznym, domach opieki, salonach fitness i SPA, gabinetach</w:t>
            </w:r>
          </w:p>
          <w:p w14:paraId="6A415258" w14:textId="601AB8B1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Velox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pianka</w:t>
            </w:r>
          </w:p>
        </w:tc>
        <w:tc>
          <w:tcPr>
            <w:tcW w:w="992" w:type="dxa"/>
          </w:tcPr>
          <w:p w14:paraId="6700E976" w14:textId="10D9951A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290943F6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F40A4E1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8C90EB5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1DF3EC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0BDCBE87" w14:textId="1BD59BB7" w:rsidTr="00D66276">
        <w:tc>
          <w:tcPr>
            <w:tcW w:w="568" w:type="dxa"/>
          </w:tcPr>
          <w:p w14:paraId="11163150" w14:textId="29865950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260" w:type="dxa"/>
          </w:tcPr>
          <w:p w14:paraId="707A21E6" w14:textId="5B04BAF9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Środek </w:t>
            </w: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na bazie alkoholu etylowego, przeznaczonym do higienicznej i chirurgicznej dezynfekcji skóry i rąk. Posiada szerokie spektrum działania wobec bakterii, grzybów, prątków, wirusów oraz przedłużone działanie </w:t>
            </w:r>
            <w:proofErr w:type="spellStart"/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mikrobójcze</w:t>
            </w:r>
            <w:proofErr w:type="spellEnd"/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 do 3 godzin.</w:t>
            </w:r>
          </w:p>
          <w:p w14:paraId="1B6E7167" w14:textId="09615EF9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Chemisept</w:t>
            </w:r>
            <w:proofErr w:type="spellEnd"/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VIR</w:t>
            </w:r>
          </w:p>
        </w:tc>
        <w:tc>
          <w:tcPr>
            <w:tcW w:w="992" w:type="dxa"/>
          </w:tcPr>
          <w:p w14:paraId="77013DC1" w14:textId="6808EA90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276" w:type="dxa"/>
          </w:tcPr>
          <w:p w14:paraId="05AAFDF1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06B4D6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D10A010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D06C35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0386B3D2" w14:textId="21BAF0B6" w:rsidTr="00D66276">
        <w:tc>
          <w:tcPr>
            <w:tcW w:w="568" w:type="dxa"/>
          </w:tcPr>
          <w:p w14:paraId="4E94A360" w14:textId="5269A2C4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260" w:type="dxa"/>
          </w:tcPr>
          <w:p w14:paraId="3BD8F684" w14:textId="4A59F561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Preparat do szybkiej dezynfekcji miejsc trudnodostępnych na bazie mieszaniny alkoholi  etanolu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izopropanolu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o stężeniu max 63g na 100ml, nie sklasyfikowany jako substancja drażniąca (nie posiada oznakowania Xi),  o szerokim spektrum biobójczym: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B,F,Tbc,V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BVDV,HIV,HBV,HCV,Vaccinia,Rota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, Noro) i krótkim czasie działania maksymalnie do 30 sekund z możliwością poszerzenia o Polio w czasie max. 2 minut. Badania skuteczności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mikrobójczej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potwierdzone badaniami zgodnie z zharmonizowaną normą PN-EN 14885 (obszar medyczny) co najmniej faza II. Możliwość użycia preparatu do dezynfekcji powierzchni mających kontakt z żywnością (dokument potwierdzający wydany przez </w:t>
            </w:r>
            <w:r w:rsidRPr="005104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niezależną instytucję).  Opakowanie 1L ze spryskiwaczem. Preparat o podwójnej rejestracji jako produkt biobójczy i wyrób medyczny.</w:t>
            </w:r>
          </w:p>
          <w:p w14:paraId="374C8A7E" w14:textId="6AA801CD" w:rsidR="00D66276" w:rsidRPr="00510428" w:rsidRDefault="00D66276" w:rsidP="00AE184D">
            <w:pPr>
              <w:pStyle w:val="TableContents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Bacticid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5L</w:t>
            </w:r>
          </w:p>
        </w:tc>
        <w:tc>
          <w:tcPr>
            <w:tcW w:w="992" w:type="dxa"/>
          </w:tcPr>
          <w:p w14:paraId="0E69DDD7" w14:textId="1B891372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</w:t>
            </w:r>
          </w:p>
        </w:tc>
        <w:tc>
          <w:tcPr>
            <w:tcW w:w="1276" w:type="dxa"/>
          </w:tcPr>
          <w:p w14:paraId="0E704153" w14:textId="33CB0A6E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26CF099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816A02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AE135B5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08B1D50F" w14:textId="78D46406" w:rsidTr="00D66276">
        <w:tc>
          <w:tcPr>
            <w:tcW w:w="568" w:type="dxa"/>
          </w:tcPr>
          <w:p w14:paraId="61AD2846" w14:textId="452BD9B9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260" w:type="dxa"/>
          </w:tcPr>
          <w:p w14:paraId="6EB20CB9" w14:textId="49BD5FC5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Koncentrat w płynie do mycia i dezynfekcji powierzchni oraz wyrobów medycznych o szerokim spektrum działania wobec:  B(w tym MRSA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Legionella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), F,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Tbc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M.Avium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M.Terrae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), V (HIV, HBV,HCV) w czasie 15 minut  w stężeniu max. 0,25% z możliwością poszerzenia o wirusy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Poli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 .  Dobre właściwości myjące i wysoka kompatybilność materiałowa , nie uwalniający aktywnego chloru, tlenu, związków fenolowych i aldehydów. Może być stosowany w obecności pacjentów oraz do powierzchni mających kontakt z żywnością.</w:t>
            </w:r>
          </w:p>
          <w:p w14:paraId="4AEEECFB" w14:textId="710436F6" w:rsidR="00D66276" w:rsidRPr="00510428" w:rsidRDefault="00D66276" w:rsidP="00AE184D">
            <w:pPr>
              <w:pStyle w:val="TableContents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Sterisept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forte 1L</w:t>
            </w:r>
          </w:p>
        </w:tc>
        <w:tc>
          <w:tcPr>
            <w:tcW w:w="992" w:type="dxa"/>
          </w:tcPr>
          <w:p w14:paraId="4B063412" w14:textId="0C781D28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14:paraId="48087D0A" w14:textId="0F5BF6D4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F4A333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6F1A936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FACE0BE" w14:textId="77777777" w:rsidR="00D66276" w:rsidRPr="00510428" w:rsidRDefault="00D66276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63D310E1" w14:textId="7665C5E6" w:rsidTr="00D66276">
        <w:tc>
          <w:tcPr>
            <w:tcW w:w="568" w:type="dxa"/>
          </w:tcPr>
          <w:p w14:paraId="3E86CB42" w14:textId="14EAA7C5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3260" w:type="dxa"/>
          </w:tcPr>
          <w:p w14:paraId="60E5DC75" w14:textId="5FCB6466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Wydajny koncentrat do jednoczesnego mycia i dezynfekcji nieinwazyjnego sprzętu medycznego jak unity, łóżka lekarskie, stoły operacyjne, aparatura itp. ... Zalecany jest także do dezynfekcji poprzez zanurzenie oraz do wyrobów medycznych ze szkła akrylowego.</w:t>
            </w:r>
          </w:p>
          <w:p w14:paraId="5430879B" w14:textId="798274E9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Quatrodes</w:t>
            </w:r>
            <w:proofErr w:type="spellEnd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Forte</w:t>
            </w: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992" w:type="dxa"/>
          </w:tcPr>
          <w:p w14:paraId="64CF1CF9" w14:textId="50B567E9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78976A39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147FFE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4257E3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85A889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39CAC2C9" w14:textId="1A314ED0" w:rsidTr="00D66276">
        <w:tc>
          <w:tcPr>
            <w:tcW w:w="568" w:type="dxa"/>
          </w:tcPr>
          <w:p w14:paraId="5FC1A171" w14:textId="2C7489AE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14:paraId="214EA1D6" w14:textId="40577DFB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Preparat dezynfekcyjny o działaniu bakteriobójczym i wirusobójczym o dowiedzionej aktywności biobójczej. Przeznaczony do dezynfekcji w higienie weterynaryjnej: powierzchni, urządzeń, wyposażenia, środków transportu oraz do dezynfekcji za pomocą zamgławiania.</w:t>
            </w:r>
          </w:p>
          <w:p w14:paraId="225B497D" w14:textId="1A83ED85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Virkon</w:t>
            </w:r>
            <w:proofErr w:type="spellEnd"/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S 200 g</w:t>
            </w:r>
          </w:p>
        </w:tc>
        <w:tc>
          <w:tcPr>
            <w:tcW w:w="992" w:type="dxa"/>
          </w:tcPr>
          <w:p w14:paraId="231F074B" w14:textId="13E828D3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14:paraId="78679BA3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66A2E4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D234A0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A419BBF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4CEFF63B" w14:textId="28391D3A" w:rsidTr="00D66276">
        <w:tc>
          <w:tcPr>
            <w:tcW w:w="568" w:type="dxa"/>
          </w:tcPr>
          <w:p w14:paraId="0E68469B" w14:textId="401B1F4E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3260" w:type="dxa"/>
          </w:tcPr>
          <w:p w14:paraId="77559A92" w14:textId="2941B61E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Płyn dezynfekujący jest preparatem antyseptycznym i dezynfekcyjnym o szerokim spektrum działania. Podstawowym jego składnikiem jest podchloryn sodu oraz kompozycja związków utrwalających i stabilizujących jego trwałość i skuteczność w </w:t>
            </w: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lastRenderedPageBreak/>
              <w:t>różnych warunkach. Koncentracja płynu wyrażana jest w % aktywnego chloru.</w:t>
            </w:r>
          </w:p>
          <w:p w14:paraId="51695EA2" w14:textId="20FF4C41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510428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Ekojavel</w:t>
            </w:r>
            <w:proofErr w:type="spellEnd"/>
            <w:r w:rsidRPr="00510428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992" w:type="dxa"/>
          </w:tcPr>
          <w:p w14:paraId="52603AC7" w14:textId="0A0F9C41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</w:tcPr>
          <w:p w14:paraId="50BBBA89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5637E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F4CBB2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3D84C1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6276" w:rsidRPr="00510428" w14:paraId="7F0CABD1" w14:textId="03C305B9" w:rsidTr="007C1656">
        <w:tc>
          <w:tcPr>
            <w:tcW w:w="568" w:type="dxa"/>
            <w:tcBorders>
              <w:bottom w:val="single" w:sz="4" w:space="0" w:color="auto"/>
            </w:tcBorders>
          </w:tcPr>
          <w:p w14:paraId="29474D8F" w14:textId="137A0B1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78A439B" w14:textId="3E096717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Płyn do szybkiej dezynfekcji małych powierzchni </w:t>
            </w:r>
          </w:p>
          <w:p w14:paraId="6498873A" w14:textId="17452954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w obszarze medycznym, domach opieki, sanatoriach, salonach fitness i SPA, salonach fryzjerskich, kosmetycznych, gabinetach masażu, przedszkolach, szkołach oraz do dezynfekcji powierzchni mających i niemających kontaktu z żywnością. Nadaje się do dezynfekcji powierzchni takich jak blaty, stoły, klamki, uchwyty oraz do sprzętu i akcesoriów fryzjerskich i kosmetycznych, a także nieinwazyjnego sprzętu medycznego jak np. fotele zabiegowe, aparatura medyczna, sprzęt rehabilitacyjny. Polecany jest również do dezynfekcji końcówek stomatologicznych przed procesem sterylizacji oraz łyżek protetycznych i wycisków silikonowych. Produkt posiada działanie bakteriobójcze,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drożdżakobójcze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 wobec prątków gruźlicy i ograniczone wirusobójcze (wobec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Rotawirusa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Norowirusa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) oraz 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 wobec wirusów osłonkowych (w tym </w:t>
            </w:r>
            <w:proofErr w:type="spellStart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Vaccinia</w:t>
            </w:r>
            <w:proofErr w:type="spellEnd"/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>, BVDV, SARS-CoV-2, HIV, HBV, HCV).</w:t>
            </w:r>
          </w:p>
          <w:p w14:paraId="26A26B8B" w14:textId="04C97719" w:rsidR="00D66276" w:rsidRPr="00510428" w:rsidRDefault="00D66276" w:rsidP="00AE184D">
            <w:pPr>
              <w:jc w:val="both"/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</w:pPr>
            <w:r w:rsidRPr="00510428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Typu </w:t>
            </w:r>
            <w:r w:rsidRPr="00510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VELOX 5L</w:t>
            </w:r>
          </w:p>
          <w:p w14:paraId="2F7727C3" w14:textId="2B90960C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3D4241" w14:textId="5B5AB812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2365FF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773CA5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B89083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F2679C" w14:textId="77777777" w:rsidR="00D66276" w:rsidRPr="00510428" w:rsidRDefault="00D66276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tr w:rsidR="00D66276" w:rsidRPr="00510428" w14:paraId="314413BA" w14:textId="202A5138" w:rsidTr="007C1656">
        <w:tc>
          <w:tcPr>
            <w:tcW w:w="6096" w:type="dxa"/>
            <w:gridSpan w:val="4"/>
            <w:tcBorders>
              <w:right w:val="nil"/>
            </w:tcBorders>
          </w:tcPr>
          <w:p w14:paraId="7BB03091" w14:textId="26550A88" w:rsidR="00D66276" w:rsidRPr="00510428" w:rsidRDefault="00D66276" w:rsidP="005E2D8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b/>
                <w:sz w:val="22"/>
                <w:szCs w:val="22"/>
              </w:rPr>
              <w:t>SUMA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339C591" w14:textId="77777777" w:rsidR="00D66276" w:rsidRPr="00510428" w:rsidRDefault="00D66276" w:rsidP="005E2D8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4C9D39F" w14:textId="77777777" w:rsidR="00D66276" w:rsidRPr="00510428" w:rsidRDefault="00D66276" w:rsidP="005E2D8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68603D2" w14:textId="77777777" w:rsidR="00D66276" w:rsidRPr="00510428" w:rsidRDefault="00D66276" w:rsidP="005E2D8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89234A2" w14:textId="1BFA1062" w:rsidR="00893AEF" w:rsidRPr="00510428" w:rsidRDefault="00893AEF" w:rsidP="005E2D82">
      <w:pPr>
        <w:rPr>
          <w:rFonts w:asciiTheme="minorHAnsi" w:hAnsiTheme="minorHAnsi" w:cstheme="minorHAnsi"/>
          <w:b/>
          <w:sz w:val="22"/>
          <w:szCs w:val="22"/>
        </w:rPr>
      </w:pPr>
    </w:p>
    <w:p w14:paraId="635337DF" w14:textId="346FE338" w:rsidR="00893AEF" w:rsidRPr="00510428" w:rsidRDefault="00893AEF" w:rsidP="005E2D82">
      <w:pPr>
        <w:rPr>
          <w:rFonts w:asciiTheme="minorHAnsi" w:hAnsiTheme="minorHAnsi" w:cstheme="minorHAnsi"/>
          <w:bCs/>
          <w:sz w:val="22"/>
          <w:szCs w:val="22"/>
        </w:rPr>
      </w:pPr>
    </w:p>
    <w:p w14:paraId="577A5248" w14:textId="0AB36D79" w:rsidR="00286221" w:rsidRPr="00510428" w:rsidRDefault="00286221" w:rsidP="005E2D82">
      <w:pPr>
        <w:rPr>
          <w:rFonts w:asciiTheme="minorHAnsi" w:hAnsiTheme="minorHAnsi" w:cstheme="minorHAnsi"/>
          <w:bCs/>
          <w:sz w:val="20"/>
          <w:szCs w:val="20"/>
        </w:rPr>
      </w:pPr>
      <w:r w:rsidRPr="00510428">
        <w:rPr>
          <w:rFonts w:asciiTheme="minorHAnsi" w:hAnsiTheme="minorHAnsi" w:cstheme="minorHAnsi"/>
          <w:bCs/>
          <w:sz w:val="20"/>
          <w:szCs w:val="20"/>
        </w:rPr>
        <w:t>Potwierdzam zgodność merytoryczną i ilościową przedmiotu                    Upełnomocniony przedstawiciel Wykonawcy</w:t>
      </w:r>
    </w:p>
    <w:p w14:paraId="136459B6" w14:textId="6D876231" w:rsidR="00286221" w:rsidRPr="00510428" w:rsidRDefault="00286221" w:rsidP="005E2D82">
      <w:pPr>
        <w:rPr>
          <w:rFonts w:asciiTheme="minorHAnsi" w:hAnsiTheme="minorHAnsi" w:cstheme="minorHAnsi"/>
          <w:bCs/>
          <w:sz w:val="20"/>
          <w:szCs w:val="20"/>
        </w:rPr>
      </w:pPr>
      <w:r w:rsidRPr="00510428">
        <w:rPr>
          <w:rFonts w:asciiTheme="minorHAnsi" w:hAnsiTheme="minorHAnsi" w:cstheme="minorHAnsi"/>
          <w:bCs/>
          <w:sz w:val="20"/>
          <w:szCs w:val="20"/>
        </w:rPr>
        <w:t>zamówienia</w:t>
      </w:r>
    </w:p>
    <w:p w14:paraId="436CAEBD" w14:textId="65EE25D4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  <w:r w:rsidRPr="00510428">
        <w:rPr>
          <w:rFonts w:asciiTheme="minorHAnsi" w:hAnsiTheme="minorHAnsi" w:cstheme="minorHAnsi"/>
          <w:bCs/>
          <w:sz w:val="22"/>
          <w:szCs w:val="22"/>
        </w:rPr>
        <w:t xml:space="preserve">    </w:t>
      </w:r>
    </w:p>
    <w:p w14:paraId="69D0677E" w14:textId="7B1F348C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</w:p>
    <w:p w14:paraId="772FCEA6" w14:textId="7D4B766D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  <w:r w:rsidRPr="00510428">
        <w:rPr>
          <w:rFonts w:asciiTheme="minorHAnsi" w:hAnsiTheme="minorHAnsi" w:cstheme="minorHAnsi"/>
          <w:bCs/>
          <w:sz w:val="22"/>
          <w:szCs w:val="22"/>
        </w:rPr>
        <w:t xml:space="preserve">………………………………………………..                                         </w:t>
      </w:r>
      <w:r w:rsidR="00510428">
        <w:rPr>
          <w:rFonts w:asciiTheme="minorHAnsi" w:hAnsiTheme="minorHAnsi" w:cstheme="minorHAnsi"/>
          <w:bCs/>
          <w:sz w:val="22"/>
          <w:szCs w:val="22"/>
        </w:rPr>
        <w:t xml:space="preserve">                        </w:t>
      </w:r>
      <w:r w:rsidRPr="00510428">
        <w:rPr>
          <w:rFonts w:asciiTheme="minorHAnsi" w:hAnsiTheme="minorHAnsi" w:cstheme="minorHAnsi"/>
          <w:bCs/>
          <w:sz w:val="22"/>
          <w:szCs w:val="22"/>
        </w:rPr>
        <w:t>……………………………………</w:t>
      </w:r>
    </w:p>
    <w:p w14:paraId="3BCD1C94" w14:textId="6B957C23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  <w:r w:rsidRPr="00510428">
        <w:rPr>
          <w:rFonts w:asciiTheme="minorHAnsi" w:hAnsiTheme="minorHAnsi" w:cstheme="minorHAnsi"/>
          <w:bCs/>
          <w:sz w:val="22"/>
          <w:szCs w:val="22"/>
        </w:rPr>
        <w:t>(miejscowość, data)                                                                                         (podpis Wykonawcy)</w:t>
      </w:r>
    </w:p>
    <w:sectPr w:rsidR="00286221" w:rsidRPr="00510428" w:rsidSect="00B472E4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B0A30" w14:textId="77777777" w:rsidR="0021411A" w:rsidRDefault="0021411A" w:rsidP="00B472E4">
      <w:r>
        <w:separator/>
      </w:r>
    </w:p>
  </w:endnote>
  <w:endnote w:type="continuationSeparator" w:id="0">
    <w:p w14:paraId="7FB4A58A" w14:textId="77777777" w:rsidR="0021411A" w:rsidRDefault="0021411A" w:rsidP="00B4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41534" w14:textId="77777777" w:rsidR="0021411A" w:rsidRDefault="0021411A" w:rsidP="00B472E4">
      <w:r w:rsidRPr="00B472E4">
        <w:rPr>
          <w:color w:val="000000"/>
        </w:rPr>
        <w:separator/>
      </w:r>
    </w:p>
  </w:footnote>
  <w:footnote w:type="continuationSeparator" w:id="0">
    <w:p w14:paraId="0962C246" w14:textId="77777777" w:rsidR="0021411A" w:rsidRDefault="0021411A" w:rsidP="00B47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2E4"/>
    <w:rsid w:val="000C2D3D"/>
    <w:rsid w:val="0021411A"/>
    <w:rsid w:val="00286221"/>
    <w:rsid w:val="00292827"/>
    <w:rsid w:val="002977B9"/>
    <w:rsid w:val="003049A5"/>
    <w:rsid w:val="00454E47"/>
    <w:rsid w:val="004865AF"/>
    <w:rsid w:val="004B12FD"/>
    <w:rsid w:val="00510428"/>
    <w:rsid w:val="00514CD6"/>
    <w:rsid w:val="005A38E9"/>
    <w:rsid w:val="005E2D82"/>
    <w:rsid w:val="00700F36"/>
    <w:rsid w:val="00727AA0"/>
    <w:rsid w:val="00740A55"/>
    <w:rsid w:val="007C1656"/>
    <w:rsid w:val="007F0678"/>
    <w:rsid w:val="00813604"/>
    <w:rsid w:val="00871DCB"/>
    <w:rsid w:val="00893AEF"/>
    <w:rsid w:val="008F4104"/>
    <w:rsid w:val="00AE184D"/>
    <w:rsid w:val="00B04A8D"/>
    <w:rsid w:val="00B472E4"/>
    <w:rsid w:val="00B55533"/>
    <w:rsid w:val="00BE0BA9"/>
    <w:rsid w:val="00D1029E"/>
    <w:rsid w:val="00D526CC"/>
    <w:rsid w:val="00D66276"/>
    <w:rsid w:val="00DC4560"/>
    <w:rsid w:val="00DE0713"/>
    <w:rsid w:val="00E334BF"/>
    <w:rsid w:val="00F12A8A"/>
    <w:rsid w:val="00F34035"/>
    <w:rsid w:val="00FA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4B8F"/>
  <w15:docId w15:val="{3A9F986F-6E59-4793-BAE2-DEA3BC7F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472E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472E4"/>
    <w:pPr>
      <w:suppressAutoHyphens/>
    </w:pPr>
  </w:style>
  <w:style w:type="paragraph" w:customStyle="1" w:styleId="Heading">
    <w:name w:val="Heading"/>
    <w:basedOn w:val="Standard"/>
    <w:next w:val="Textbody"/>
    <w:rsid w:val="00B472E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B472E4"/>
    <w:pPr>
      <w:spacing w:after="120"/>
    </w:pPr>
  </w:style>
  <w:style w:type="paragraph" w:styleId="Lista">
    <w:name w:val="List"/>
    <w:basedOn w:val="Textbody"/>
    <w:rsid w:val="00B472E4"/>
  </w:style>
  <w:style w:type="paragraph" w:styleId="Legenda">
    <w:name w:val="caption"/>
    <w:basedOn w:val="Standard"/>
    <w:rsid w:val="00B472E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472E4"/>
    <w:pPr>
      <w:suppressLineNumbers/>
    </w:pPr>
  </w:style>
  <w:style w:type="paragraph" w:customStyle="1" w:styleId="TableContents">
    <w:name w:val="Table Contents"/>
    <w:basedOn w:val="Standard"/>
    <w:rsid w:val="00B472E4"/>
    <w:pPr>
      <w:suppressLineNumbers/>
    </w:pPr>
  </w:style>
  <w:style w:type="table" w:styleId="Tabela-Siatka">
    <w:name w:val="Table Grid"/>
    <w:basedOn w:val="Standardowy"/>
    <w:uiPriority w:val="59"/>
    <w:rsid w:val="00286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1069</Words>
  <Characters>6416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jtk ztk</dc:creator>
  <cp:lastModifiedBy>Szpital Opatów</cp:lastModifiedBy>
  <cp:revision>7</cp:revision>
  <cp:lastPrinted>2021-01-26T07:18:00Z</cp:lastPrinted>
  <dcterms:created xsi:type="dcterms:W3CDTF">2021-02-01T10:03:00Z</dcterms:created>
  <dcterms:modified xsi:type="dcterms:W3CDTF">2021-02-01T10:32:00Z</dcterms:modified>
</cp:coreProperties>
</file>